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E11" w:rsidRDefault="00967C2A">
      <w:pPr>
        <w:spacing w:after="172" w:line="259" w:lineRule="auto"/>
        <w:ind w:left="0" w:right="61" w:firstLine="0"/>
        <w:jc w:val="center"/>
      </w:pPr>
      <w:r>
        <w:rPr>
          <w:b/>
          <w:sz w:val="32"/>
        </w:rPr>
        <w:t xml:space="preserve">ПУБЛИЧНАЯ ОФЕРТА НА ОКАЗАНИЕ УСЛУГ </w:t>
      </w:r>
    </w:p>
    <w:p w:rsidR="001B7E11" w:rsidRDefault="00967C2A">
      <w:pPr>
        <w:ind w:left="229" w:firstLine="0"/>
      </w:pPr>
      <w:r>
        <w:t xml:space="preserve">Настоящий документ является официальным публичным предложением (офертой) </w:t>
      </w:r>
    </w:p>
    <w:p w:rsidR="001B7E11" w:rsidRDefault="00967C2A">
      <w:pPr>
        <w:spacing w:after="0" w:line="276" w:lineRule="auto"/>
        <w:ind w:left="10" w:hanging="10"/>
        <w:jc w:val="center"/>
      </w:pPr>
      <w:r>
        <w:t xml:space="preserve">НПД БАТИН ВИТАЛИЙ СЕРГЕЕВИЧ, ИНН 720214326594, и содержит условия предоставления платных услуг по размещению и обслуживанию серверной </w:t>
      </w:r>
    </w:p>
    <w:p w:rsidR="001B7E11" w:rsidRDefault="00967C2A">
      <w:pPr>
        <w:spacing w:after="0" w:line="276" w:lineRule="auto"/>
        <w:ind w:left="10" w:hanging="10"/>
        <w:jc w:val="center"/>
      </w:pPr>
      <w:r>
        <w:t xml:space="preserve">инфраструктуры. Акцепт оферты (оплата услуг) означает полное и безоговорочное согласие Заказчика с условиями настоящего договора. </w:t>
      </w:r>
    </w:p>
    <w:p w:rsidR="001B7E11" w:rsidRDefault="00967C2A">
      <w:pPr>
        <w:spacing w:after="258" w:line="259" w:lineRule="auto"/>
        <w:ind w:left="0" w:right="61" w:firstLine="0"/>
        <w:jc w:val="center"/>
      </w:pPr>
      <w:r>
        <w:t xml:space="preserve"> Оферта опубликована на сайтах:</w:t>
      </w:r>
      <w:r>
        <w:fldChar w:fldCharType="begin"/>
      </w:r>
      <w:r>
        <w:instrText xml:space="preserve"> HYPERLINK "https://lendnodes.cloud/" \h </w:instrText>
      </w:r>
      <w:r>
        <w:fldChar w:fldCharType="separate"/>
      </w:r>
      <w:r>
        <w:t xml:space="preserve"> </w:t>
      </w:r>
      <w:r>
        <w:fldChar w:fldCharType="end"/>
      </w:r>
      <w:hyperlink r:id="rId6">
        <w:r>
          <w:rPr>
            <w:color w:val="1155CC"/>
            <w:u w:val="single" w:color="1155CC"/>
          </w:rPr>
          <w:t>https://lendnodes.cloud</w:t>
        </w:r>
      </w:hyperlink>
      <w:hyperlink r:id="rId7">
        <w:r>
          <w:t>,</w:t>
        </w:r>
      </w:hyperlink>
      <w:hyperlink r:id="rId8">
        <w:r>
          <w:t xml:space="preserve"> </w:t>
        </w:r>
      </w:hyperlink>
      <w:hyperlink r:id="rId9">
        <w:r>
          <w:rPr>
            <w:color w:val="1155CC"/>
            <w:u w:val="single" w:color="1155CC"/>
          </w:rPr>
          <w:t>https://lendnodes.net</w:t>
        </w:r>
      </w:hyperlink>
      <w:r>
        <w:t xml:space="preserve">.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367" name="Group 6367"/>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11" name="Shape 111"/>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67" style="width:445pt;height:1pt;mso-position-horizontal-relative:char;mso-position-vertical-relative:line" coordsize="56515,127">
                <v:shape id="Shape 111"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Определения </w:t>
      </w:r>
    </w:p>
    <w:p w:rsidR="001B7E11" w:rsidRDefault="00967C2A" w:rsidP="007630E9">
      <w:pPr>
        <w:pStyle w:val="a3"/>
        <w:numPr>
          <w:ilvl w:val="0"/>
          <w:numId w:val="16"/>
        </w:numPr>
      </w:pPr>
      <w:r w:rsidRPr="007630E9">
        <w:rPr>
          <w:b/>
        </w:rPr>
        <w:t>Сервер</w:t>
      </w:r>
      <w:r>
        <w:t xml:space="preserve"> — физическое или виртуальное устройство, предоставляемое Исполнителем Заказчику для размещения данных и выполнения вычислений. </w:t>
      </w:r>
    </w:p>
    <w:p w:rsidR="001B7E11" w:rsidRDefault="001B7E11" w:rsidP="007630E9">
      <w:pPr>
        <w:spacing w:after="18" w:line="259" w:lineRule="auto"/>
        <w:ind w:left="720" w:firstLine="60"/>
      </w:pPr>
    </w:p>
    <w:p w:rsidR="001B7E11" w:rsidRDefault="00915551" w:rsidP="007630E9">
      <w:pPr>
        <w:pStyle w:val="a3"/>
        <w:numPr>
          <w:ilvl w:val="0"/>
          <w:numId w:val="16"/>
        </w:numPr>
      </w:pPr>
      <w:r w:rsidRPr="007630E9">
        <w:rPr>
          <w:b/>
        </w:rPr>
        <w:t>VD</w:t>
      </w:r>
      <w:r w:rsidR="00967C2A" w:rsidRPr="007630E9">
        <w:rPr>
          <w:b/>
        </w:rPr>
        <w:t xml:space="preserve">S (Virtual </w:t>
      </w:r>
      <w:r w:rsidRPr="007630E9">
        <w:rPr>
          <w:b/>
        </w:rPr>
        <w:t>Dedicated</w:t>
      </w:r>
      <w:r w:rsidR="00967C2A" w:rsidRPr="007630E9">
        <w:rPr>
          <w:b/>
        </w:rPr>
        <w:t xml:space="preserve"> Server)</w:t>
      </w:r>
      <w:r w:rsidR="00967C2A">
        <w:t xml:space="preserve"> — услуга предоставления виртуального</w:t>
      </w:r>
      <w:r>
        <w:t xml:space="preserve"> </w:t>
      </w:r>
      <w:r w:rsidRPr="007630E9">
        <w:rPr>
          <w:lang w:val="ru-RU"/>
        </w:rPr>
        <w:t>выделенного</w:t>
      </w:r>
      <w:r w:rsidR="00967C2A">
        <w:t xml:space="preserve"> сервера с гарантированными ресурсами. </w:t>
      </w:r>
    </w:p>
    <w:p w:rsidR="001B7E11" w:rsidRDefault="001B7E11" w:rsidP="007630E9">
      <w:pPr>
        <w:spacing w:after="18" w:line="259" w:lineRule="auto"/>
        <w:ind w:left="720" w:firstLine="60"/>
      </w:pPr>
    </w:p>
    <w:p w:rsidR="001B7E11" w:rsidRDefault="00915551" w:rsidP="007630E9">
      <w:pPr>
        <w:pStyle w:val="a3"/>
        <w:numPr>
          <w:ilvl w:val="0"/>
          <w:numId w:val="16"/>
        </w:numPr>
      </w:pPr>
      <w:r w:rsidRPr="007630E9">
        <w:rPr>
          <w:b/>
          <w:lang w:val="ru-RU"/>
        </w:rPr>
        <w:t>(</w:t>
      </w:r>
      <w:r w:rsidRPr="007630E9">
        <w:rPr>
          <w:b/>
        </w:rPr>
        <w:t>Dedicated Server</w:t>
      </w:r>
      <w:r w:rsidRPr="007630E9">
        <w:rPr>
          <w:b/>
          <w:lang w:val="ru-RU"/>
        </w:rPr>
        <w:t>)</w:t>
      </w:r>
      <w:r w:rsidRPr="007630E9">
        <w:rPr>
          <w:b/>
        </w:rPr>
        <w:t xml:space="preserve"> </w:t>
      </w:r>
      <w:r w:rsidR="00967C2A" w:rsidRPr="007630E9">
        <w:rPr>
          <w:b/>
        </w:rPr>
        <w:t>Выделенный сервер</w:t>
      </w:r>
      <w:r w:rsidR="00967C2A">
        <w:t xml:space="preserve"> — отдельная физическая машина, предоставляемая Заказчику в полное распоряжение. </w:t>
      </w:r>
    </w:p>
    <w:p w:rsidR="001B7E11" w:rsidRDefault="001B7E11" w:rsidP="007630E9">
      <w:pPr>
        <w:spacing w:after="18" w:line="259" w:lineRule="auto"/>
        <w:ind w:left="720" w:firstLine="60"/>
      </w:pPr>
    </w:p>
    <w:p w:rsidR="001B7E11" w:rsidRDefault="00967C2A" w:rsidP="007630E9">
      <w:pPr>
        <w:pStyle w:val="a3"/>
        <w:numPr>
          <w:ilvl w:val="0"/>
          <w:numId w:val="16"/>
        </w:numPr>
      </w:pPr>
      <w:r w:rsidRPr="007630E9">
        <w:rPr>
          <w:b/>
        </w:rPr>
        <w:t>IP-транзит</w:t>
      </w:r>
      <w:r>
        <w:t xml:space="preserve"> — услуга передачи IP-трафика через инфраструктуру Исполнителя. </w:t>
      </w:r>
    </w:p>
    <w:p w:rsidR="001B7E11" w:rsidRDefault="001B7E11" w:rsidP="007630E9">
      <w:pPr>
        <w:spacing w:after="18" w:line="259" w:lineRule="auto"/>
        <w:ind w:left="720" w:firstLine="60"/>
      </w:pPr>
    </w:p>
    <w:p w:rsidR="001B7E11" w:rsidRDefault="00967C2A" w:rsidP="007630E9">
      <w:pPr>
        <w:pStyle w:val="a3"/>
        <w:numPr>
          <w:ilvl w:val="0"/>
          <w:numId w:val="16"/>
        </w:numPr>
      </w:pPr>
      <w:r w:rsidRPr="007630E9">
        <w:rPr>
          <w:b/>
        </w:rPr>
        <w:t>Трафик</w:t>
      </w:r>
      <w:r>
        <w:t xml:space="preserve"> — объем переданных/принятых данных через сеть AS214079. </w:t>
      </w:r>
      <w:r w:rsidR="007630E9">
        <w:br/>
      </w:r>
    </w:p>
    <w:p w:rsidR="001B7E11" w:rsidRDefault="007630E9" w:rsidP="007630E9">
      <w:pPr>
        <w:pStyle w:val="a3"/>
        <w:numPr>
          <w:ilvl w:val="0"/>
          <w:numId w:val="16"/>
        </w:numPr>
        <w:spacing w:after="18" w:line="259" w:lineRule="auto"/>
      </w:pPr>
      <w:r w:rsidRPr="007630E9">
        <w:rPr>
          <w:b/>
          <w:lang w:val="ru-RU"/>
        </w:rPr>
        <w:t>ПО</w:t>
      </w:r>
      <w:r w:rsidRPr="007630E9">
        <w:rPr>
          <w:lang w:val="ru-RU"/>
        </w:rPr>
        <w:t xml:space="preserve"> – Программное обеспечение</w:t>
      </w:r>
      <w:r>
        <w:rPr>
          <w:lang w:val="en-US"/>
        </w:rPr>
        <w:t>.</w:t>
      </w:r>
      <w:r>
        <w:br/>
      </w:r>
    </w:p>
    <w:p w:rsidR="001B7E11" w:rsidRDefault="00967C2A" w:rsidP="007630E9">
      <w:pPr>
        <w:pStyle w:val="a3"/>
        <w:numPr>
          <w:ilvl w:val="0"/>
          <w:numId w:val="16"/>
        </w:numPr>
        <w:spacing w:after="250"/>
      </w:pPr>
      <w:r w:rsidRPr="007630E9">
        <w:rPr>
          <w:b/>
        </w:rPr>
        <w:t>Аптайм (Uptime)</w:t>
      </w:r>
      <w:r>
        <w:t xml:space="preserve"> — процент времени доступности услуги.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368" name="Group 6368"/>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258" name="Shape 258"/>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68" style="width:445pt;height:1pt;mso-position-horizontal-relative:char;mso-position-vertical-relative:line" coordsize="56515,127">
                <v:shape id="Shape 258"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Описание Услуг </w:t>
      </w:r>
    </w:p>
    <w:p w:rsidR="001B7E11" w:rsidRDefault="00967C2A">
      <w:pPr>
        <w:spacing w:after="258" w:line="259" w:lineRule="auto"/>
        <w:ind w:left="-5" w:hanging="10"/>
      </w:pPr>
      <w:r>
        <w:rPr>
          <w:b/>
        </w:rPr>
        <w:t xml:space="preserve">2.1 </w:t>
      </w:r>
      <w:r w:rsidR="00915551">
        <w:rPr>
          <w:b/>
        </w:rPr>
        <w:t>VD</w:t>
      </w:r>
      <w:r>
        <w:rPr>
          <w:b/>
        </w:rPr>
        <w:t>S/Выделенные/Игровые серверы</w:t>
      </w:r>
      <w:r>
        <w:t xml:space="preserve">: </w:t>
      </w:r>
    </w:p>
    <w:p w:rsidR="001B7E11" w:rsidRDefault="00967C2A">
      <w:pPr>
        <w:numPr>
          <w:ilvl w:val="0"/>
          <w:numId w:val="2"/>
        </w:numPr>
        <w:ind w:hanging="360"/>
      </w:pPr>
      <w:r>
        <w:t xml:space="preserve">Тарифные планы с возможностью предоставления Исполнителя: CPU от 1 до 16 ядер, RAM от 1 до 128 ГБ, SSD/NVMe от 5 ГБ до 1 ТБ (за актуальными тарифами Выделенных серверов обращаться в техподдержку.) </w:t>
      </w:r>
    </w:p>
    <w:p w:rsidR="001B7E11" w:rsidRDefault="00967C2A">
      <w:pPr>
        <w:spacing w:after="18" w:line="259" w:lineRule="auto"/>
        <w:ind w:left="720" w:firstLine="0"/>
      </w:pPr>
      <w:r>
        <w:t xml:space="preserve"> </w:t>
      </w:r>
    </w:p>
    <w:p w:rsidR="00915551" w:rsidRDefault="00967C2A" w:rsidP="00915551">
      <w:pPr>
        <w:numPr>
          <w:ilvl w:val="0"/>
          <w:numId w:val="2"/>
        </w:numPr>
        <w:ind w:hanging="360"/>
      </w:pPr>
      <w:r>
        <w:t>Поддерживаемые ОС: Ubuntu, Debian, CentOS,</w:t>
      </w:r>
      <w:r w:rsidR="00915551">
        <w:t xml:space="preserve"> AlmaLinux, Rocky Linux, Oracle Linux, FreeBSD,</w:t>
      </w:r>
      <w:r>
        <w:t xml:space="preserve"> Windows Server</w:t>
      </w:r>
      <w:r w:rsidR="00915551">
        <w:t>, Windows</w:t>
      </w:r>
      <w:r>
        <w:t xml:space="preserve">. Возможна загрузка </w:t>
      </w:r>
      <w:r w:rsidR="00915551">
        <w:rPr>
          <w:lang w:val="ru-RU"/>
        </w:rPr>
        <w:t xml:space="preserve">собственного </w:t>
      </w:r>
      <w:r w:rsidR="00915551">
        <w:t xml:space="preserve">ISO-образов через панель управления vds </w:t>
      </w:r>
      <w:r w:rsidR="00915551">
        <w:rPr>
          <w:lang w:val="ru-RU"/>
        </w:rPr>
        <w:t xml:space="preserve">серверами - </w:t>
      </w:r>
      <w:hyperlink r:id="rId10" w:history="1">
        <w:r w:rsidR="00915551" w:rsidRPr="009065E9">
          <w:rPr>
            <w:rStyle w:val="a4"/>
          </w:rPr>
          <w:t>https://vm.lendnodes.cloud</w:t>
        </w:r>
      </w:hyperlink>
    </w:p>
    <w:p w:rsidR="001B7E11" w:rsidRDefault="00967C2A" w:rsidP="00915551">
      <w:pPr>
        <w:ind w:left="705" w:firstLine="0"/>
      </w:pPr>
      <w:r>
        <w:t xml:space="preserve"> </w:t>
      </w:r>
    </w:p>
    <w:p w:rsidR="001B7E11" w:rsidRDefault="00967C2A">
      <w:pPr>
        <w:numPr>
          <w:ilvl w:val="0"/>
          <w:numId w:val="2"/>
        </w:numPr>
        <w:ind w:hanging="360"/>
      </w:pPr>
      <w:r>
        <w:t xml:space="preserve">Панель управления: предоставляется доступ к панели управления услуги </w:t>
      </w:r>
      <w:r w:rsidR="00915551">
        <w:t>LendNodes Billing</w:t>
      </w:r>
      <w:r>
        <w:t>, V</w:t>
      </w:r>
      <w:r w:rsidR="00915551">
        <w:t>m</w:t>
      </w:r>
      <w:r>
        <w:t>manager</w:t>
      </w:r>
      <w:r w:rsidR="00915551">
        <w:t>, Pterodactyl для управления сервер</w:t>
      </w:r>
      <w:r w:rsidR="00915551">
        <w:rPr>
          <w:lang w:val="ru-RU"/>
        </w:rPr>
        <w:t>ними услугами</w:t>
      </w:r>
      <w:r>
        <w:t>,</w:t>
      </w:r>
      <w:r w:rsidR="00915551">
        <w:rPr>
          <w:lang w:val="ru-RU"/>
        </w:rPr>
        <w:t xml:space="preserve"> старт, стоп,</w:t>
      </w:r>
      <w:r>
        <w:t xml:space="preserve"> перезагрузки, установки ОС</w:t>
      </w:r>
      <w:r w:rsidR="00915551">
        <w:rPr>
          <w:lang w:val="ru-RU"/>
        </w:rPr>
        <w:t xml:space="preserve"> и прочее</w:t>
      </w:r>
      <w:r>
        <w:t xml:space="preserve">. </w:t>
      </w:r>
    </w:p>
    <w:p w:rsidR="001B7E11" w:rsidRDefault="00967C2A">
      <w:pPr>
        <w:spacing w:after="18" w:line="259" w:lineRule="auto"/>
        <w:ind w:left="720" w:firstLine="0"/>
      </w:pPr>
      <w:r>
        <w:t xml:space="preserve"> </w:t>
      </w:r>
    </w:p>
    <w:p w:rsidR="001B7E11" w:rsidRDefault="00967C2A">
      <w:pPr>
        <w:numPr>
          <w:ilvl w:val="0"/>
          <w:numId w:val="2"/>
        </w:numPr>
        <w:ind w:hanging="360"/>
      </w:pPr>
      <w:r>
        <w:lastRenderedPageBreak/>
        <w:t xml:space="preserve">Дополнительные услуги: автоматическое резервное копирование, мониторинг, администрирование по заявке. </w:t>
      </w:r>
    </w:p>
    <w:p w:rsidR="001B7E11" w:rsidRDefault="00967C2A">
      <w:pPr>
        <w:spacing w:after="258" w:line="259" w:lineRule="auto"/>
        <w:ind w:left="-5" w:hanging="10"/>
      </w:pPr>
      <w:r>
        <w:rPr>
          <w:b/>
        </w:rPr>
        <w:t xml:space="preserve">2.2 IP-Транзит: </w:t>
      </w:r>
    </w:p>
    <w:p w:rsidR="001B7E11" w:rsidRDefault="00967C2A">
      <w:pPr>
        <w:numPr>
          <w:ilvl w:val="0"/>
          <w:numId w:val="2"/>
        </w:numPr>
        <w:ind w:hanging="360"/>
      </w:pPr>
      <w:r>
        <w:t xml:space="preserve">Пропускная способность: до 10 Гбит/с. </w:t>
      </w:r>
    </w:p>
    <w:p w:rsidR="001B7E11" w:rsidRDefault="00967C2A">
      <w:pPr>
        <w:spacing w:after="18" w:line="259" w:lineRule="auto"/>
        <w:ind w:left="720" w:firstLine="0"/>
      </w:pPr>
      <w:r>
        <w:t xml:space="preserve"> </w:t>
      </w:r>
    </w:p>
    <w:p w:rsidR="001B7E11" w:rsidRDefault="00967C2A">
      <w:pPr>
        <w:numPr>
          <w:ilvl w:val="0"/>
          <w:numId w:val="2"/>
        </w:numPr>
        <w:ind w:hanging="360"/>
      </w:pPr>
      <w:r>
        <w:t xml:space="preserve">DDoS-защита входит в услугу. </w:t>
      </w:r>
    </w:p>
    <w:p w:rsidR="001B7E11" w:rsidRDefault="00967C2A">
      <w:pPr>
        <w:spacing w:after="18" w:line="259" w:lineRule="auto"/>
        <w:ind w:left="720" w:firstLine="0"/>
      </w:pPr>
      <w:r>
        <w:t xml:space="preserve"> </w:t>
      </w:r>
    </w:p>
    <w:p w:rsidR="001B7E11" w:rsidRDefault="00967C2A">
      <w:pPr>
        <w:numPr>
          <w:ilvl w:val="0"/>
          <w:numId w:val="2"/>
        </w:numPr>
        <w:spacing w:after="250"/>
        <w:ind w:hanging="360"/>
      </w:pPr>
      <w:r>
        <w:t xml:space="preserve">SLA: задержки не более 10 мс в магистральных узлах, доступность 99.9%. </w:t>
      </w:r>
    </w:p>
    <w:p w:rsidR="007630E9" w:rsidRPr="007630E9" w:rsidRDefault="007630E9" w:rsidP="007630E9">
      <w:pPr>
        <w:spacing w:line="420" w:lineRule="atLeast"/>
        <w:ind w:left="0" w:firstLine="0"/>
        <w:rPr>
          <w:rFonts w:eastAsia="Times New Roman"/>
          <w:b/>
          <w:bCs/>
          <w:color w:val="262626" w:themeColor="text1" w:themeTint="D9"/>
          <w:sz w:val="26"/>
          <w:szCs w:val="26"/>
        </w:rPr>
      </w:pPr>
      <w:r w:rsidRPr="007630E9">
        <w:rPr>
          <w:rFonts w:eastAsia="Times New Roman"/>
          <w:b/>
          <w:bCs/>
          <w:color w:val="262626" w:themeColor="text1" w:themeTint="D9"/>
          <w:sz w:val="26"/>
          <w:szCs w:val="26"/>
        </w:rPr>
        <w:t>2.3 Ограничения при использовании Услуг</w:t>
      </w:r>
    </w:p>
    <w:p w:rsidR="007630E9" w:rsidRPr="00AC3C61" w:rsidRDefault="00AC3C61" w:rsidP="00F13928">
      <w:pPr>
        <w:spacing w:after="0" w:line="360" w:lineRule="atLeast"/>
        <w:rPr>
          <w:rFonts w:eastAsia="Times New Roman"/>
          <w:color w:val="262626" w:themeColor="text1" w:themeTint="D9"/>
          <w:sz w:val="24"/>
          <w:szCs w:val="24"/>
          <w:u w:val="single"/>
        </w:rPr>
      </w:pPr>
      <w:r>
        <w:rPr>
          <w:rFonts w:eastAsia="Times New Roman"/>
          <w:color w:val="262626" w:themeColor="text1" w:themeTint="D9"/>
        </w:rPr>
        <w:br/>
      </w:r>
      <w:r w:rsidR="007630E9" w:rsidRPr="00AC3C61">
        <w:rPr>
          <w:rFonts w:eastAsia="Times New Roman"/>
          <w:color w:val="262626" w:themeColor="text1" w:themeTint="D9"/>
          <w:sz w:val="24"/>
          <w:szCs w:val="24"/>
          <w:u w:val="single"/>
        </w:rPr>
        <w:t>На всех типах услуг Исполнителя </w:t>
      </w:r>
      <w:r w:rsidR="007630E9" w:rsidRPr="00AC3C61">
        <w:rPr>
          <w:rFonts w:eastAsia="Times New Roman"/>
          <w:bCs/>
          <w:color w:val="262626" w:themeColor="text1" w:themeTint="D9"/>
          <w:sz w:val="24"/>
          <w:szCs w:val="24"/>
          <w:u w:val="single"/>
        </w:rPr>
        <w:t>запрещается</w:t>
      </w:r>
      <w:r w:rsidR="007630E9" w:rsidRPr="00AC3C61">
        <w:rPr>
          <w:rFonts w:eastAsia="Times New Roman"/>
          <w:color w:val="262626" w:themeColor="text1" w:themeTint="D9"/>
          <w:sz w:val="24"/>
          <w:szCs w:val="24"/>
          <w:u w:val="single"/>
        </w:rPr>
        <w:t>:</w:t>
      </w:r>
      <w:r w:rsidRPr="00AC3C61">
        <w:rPr>
          <w:rFonts w:eastAsia="Times New Roman"/>
          <w:color w:val="262626" w:themeColor="text1" w:themeTint="D9"/>
          <w:sz w:val="24"/>
          <w:szCs w:val="24"/>
          <w:u w:val="single"/>
        </w:rPr>
        <w:br/>
      </w:r>
    </w:p>
    <w:p w:rsidR="007630E9" w:rsidRPr="005E0CAF" w:rsidRDefault="007630E9" w:rsidP="007630E9">
      <w:pPr>
        <w:numPr>
          <w:ilvl w:val="0"/>
          <w:numId w:val="2"/>
        </w:numPr>
        <w:spacing w:after="180" w:line="360" w:lineRule="atLeast"/>
        <w:rPr>
          <w:rFonts w:eastAsia="Times New Roman"/>
          <w:color w:val="262626" w:themeColor="text1" w:themeTint="D9"/>
        </w:rPr>
      </w:pPr>
      <w:r w:rsidRPr="005E0CAF">
        <w:rPr>
          <w:rFonts w:eastAsia="Times New Roman"/>
          <w:b/>
          <w:bCs/>
          <w:color w:val="262626" w:themeColor="text1" w:themeTint="D9"/>
        </w:rPr>
        <w:t>Нагрузка на инфраструктуру:</w:t>
      </w:r>
      <w:r w:rsidRPr="005E0CAF">
        <w:rPr>
          <w:rFonts w:eastAsia="Times New Roman"/>
          <w:color w:val="262626" w:themeColor="text1" w:themeTint="D9"/>
        </w:rPr>
        <w:t> добыча (майнинг) любых криптовалют без предварительного письменного согласования с Исполнителем.</w:t>
      </w:r>
    </w:p>
    <w:p w:rsidR="007630E9" w:rsidRPr="005E0CAF" w:rsidRDefault="007630E9" w:rsidP="007630E9">
      <w:pPr>
        <w:numPr>
          <w:ilvl w:val="0"/>
          <w:numId w:val="2"/>
        </w:numPr>
        <w:spacing w:after="180" w:line="360" w:lineRule="atLeast"/>
        <w:rPr>
          <w:rFonts w:eastAsia="Times New Roman"/>
          <w:color w:val="262626" w:themeColor="text1" w:themeTint="D9"/>
        </w:rPr>
      </w:pPr>
      <w:r w:rsidRPr="005E0CAF">
        <w:rPr>
          <w:rFonts w:eastAsia="Times New Roman"/>
          <w:b/>
          <w:bCs/>
          <w:color w:val="262626" w:themeColor="text1" w:themeTint="D9"/>
        </w:rPr>
        <w:t>Сетевые атаки и угрозы:</w:t>
      </w:r>
      <w:r w:rsidRPr="005E0CAF">
        <w:rPr>
          <w:rFonts w:eastAsia="Times New Roman"/>
          <w:color w:val="262626" w:themeColor="text1" w:themeTint="D9"/>
        </w:rPr>
        <w:t> </w:t>
      </w:r>
      <w:r w:rsidR="00E03BD5">
        <w:t>использование, хранение или распространение ПО для организации DOS/DDOS-атак, управления ботнетами, подбора паролей (</w:t>
      </w:r>
      <w:r w:rsidR="00E03BD5">
        <w:t xml:space="preserve">брутфорса), сканирования портов, </w:t>
      </w:r>
      <w:r w:rsidR="00E03BD5" w:rsidRPr="00E03BD5">
        <w:rPr>
          <w:bCs/>
        </w:rPr>
        <w:t>размещение инструментов визуализации и анализа мощности сетевых атак (</w:t>
      </w:r>
      <w:r w:rsidR="00E03BD5">
        <w:rPr>
          <w:bCs/>
        </w:rPr>
        <w:t>dstats-панелей)</w:t>
      </w:r>
      <w:r w:rsidR="00E03BD5">
        <w:rPr>
          <w:bCs/>
          <w:lang w:val="uk-UA"/>
        </w:rPr>
        <w:t xml:space="preserve"> </w:t>
      </w:r>
      <w:r w:rsidR="00E03BD5">
        <w:rPr>
          <w:bCs/>
        </w:rPr>
        <w:t>-</w:t>
      </w:r>
      <w:r w:rsidR="00E03BD5" w:rsidRPr="00E03BD5">
        <w:rPr>
          <w:bCs/>
        </w:rPr>
        <w:t xml:space="preserve"> используемых для координации или демонстрации результатов вредоносной активности.</w:t>
      </w:r>
    </w:p>
    <w:p w:rsidR="007630E9" w:rsidRPr="005E0CAF" w:rsidRDefault="007630E9" w:rsidP="007630E9">
      <w:pPr>
        <w:numPr>
          <w:ilvl w:val="0"/>
          <w:numId w:val="2"/>
        </w:numPr>
        <w:spacing w:after="180" w:line="360" w:lineRule="atLeast"/>
        <w:rPr>
          <w:rFonts w:eastAsia="Times New Roman"/>
          <w:color w:val="262626" w:themeColor="text1" w:themeTint="D9"/>
        </w:rPr>
      </w:pPr>
      <w:r w:rsidRPr="005E0CAF">
        <w:rPr>
          <w:rFonts w:eastAsia="Times New Roman"/>
          <w:b/>
          <w:bCs/>
          <w:color w:val="262626" w:themeColor="text1" w:themeTint="D9"/>
        </w:rPr>
        <w:t>Рассылка нежелательной информации:</w:t>
      </w:r>
      <w:r w:rsidRPr="005E0CAF">
        <w:rPr>
          <w:rFonts w:eastAsia="Times New Roman"/>
          <w:color w:val="262626" w:themeColor="text1" w:themeTint="D9"/>
        </w:rPr>
        <w:t> осуществление массовых рассылок (спам), а также использование почтовых серверов Исполнителя для любой деятельности, квалифицируемой как спам.</w:t>
      </w:r>
    </w:p>
    <w:p w:rsidR="007630E9" w:rsidRPr="005E0CAF" w:rsidRDefault="007630E9" w:rsidP="007630E9">
      <w:pPr>
        <w:numPr>
          <w:ilvl w:val="0"/>
          <w:numId w:val="2"/>
        </w:numPr>
        <w:spacing w:after="180" w:line="360" w:lineRule="atLeast"/>
        <w:rPr>
          <w:rFonts w:eastAsia="Times New Roman"/>
          <w:color w:val="262626" w:themeColor="text1" w:themeTint="D9"/>
        </w:rPr>
      </w:pPr>
      <w:r w:rsidRPr="005E0CAF">
        <w:rPr>
          <w:rFonts w:eastAsia="Times New Roman"/>
          <w:b/>
          <w:bCs/>
          <w:color w:val="262626" w:themeColor="text1" w:themeTint="D9"/>
        </w:rPr>
        <w:t>Вредоносное ПО:</w:t>
      </w:r>
      <w:r w:rsidRPr="005E0CAF">
        <w:rPr>
          <w:rFonts w:eastAsia="Times New Roman"/>
          <w:color w:val="262626" w:themeColor="text1" w:themeTint="D9"/>
        </w:rPr>
        <w:t> размещение, хранение или распространение вирусов, троянских программ и любого иного программного обеспечения, которое может нанести ущерб третьим лицам или оборудованию Исполнителя.</w:t>
      </w:r>
    </w:p>
    <w:p w:rsidR="007630E9" w:rsidRPr="005E0CAF" w:rsidRDefault="007630E9" w:rsidP="00F13928">
      <w:pPr>
        <w:numPr>
          <w:ilvl w:val="0"/>
          <w:numId w:val="2"/>
        </w:numPr>
        <w:spacing w:after="180" w:line="360" w:lineRule="atLeast"/>
        <w:rPr>
          <w:rFonts w:eastAsia="Times New Roman"/>
          <w:color w:val="262626" w:themeColor="text1" w:themeTint="D9"/>
        </w:rPr>
      </w:pPr>
      <w:r w:rsidRPr="005E0CAF">
        <w:rPr>
          <w:rFonts w:eastAsia="Times New Roman"/>
          <w:b/>
          <w:bCs/>
          <w:color w:val="262626" w:themeColor="text1" w:themeTint="D9"/>
        </w:rPr>
        <w:t>Нарушение авторских прав:</w:t>
      </w:r>
      <w:r w:rsidRPr="005E0CAF">
        <w:rPr>
          <w:rFonts w:eastAsia="Times New Roman"/>
          <w:color w:val="262626" w:themeColor="text1" w:themeTint="D9"/>
        </w:rPr>
        <w:t> размещение и распространение пиратского контента (Warez)</w:t>
      </w:r>
      <w:r>
        <w:rPr>
          <w:rFonts w:eastAsia="Times New Roman"/>
          <w:color w:val="262626" w:themeColor="text1" w:themeTint="D9"/>
          <w:lang w:val="ru-RU"/>
        </w:rPr>
        <w:t xml:space="preserve"> (</w:t>
      </w:r>
      <w:proofErr w:type="spellStart"/>
      <w:r>
        <w:rPr>
          <w:rFonts w:eastAsia="Times New Roman"/>
          <w:color w:val="262626" w:themeColor="text1" w:themeTint="D9"/>
          <w:lang w:val="en-US"/>
        </w:rPr>
        <w:t>Torent</w:t>
      </w:r>
      <w:proofErr w:type="spellEnd"/>
      <w:r>
        <w:rPr>
          <w:rFonts w:eastAsia="Times New Roman"/>
          <w:color w:val="262626" w:themeColor="text1" w:themeTint="D9"/>
          <w:lang w:val="ru-RU"/>
        </w:rPr>
        <w:t>)</w:t>
      </w:r>
      <w:r w:rsidRPr="005E0CAF">
        <w:rPr>
          <w:rFonts w:eastAsia="Times New Roman"/>
          <w:color w:val="262626" w:themeColor="text1" w:themeTint="D9"/>
        </w:rPr>
        <w:t>, нелицензионного ПО, а также любых материалов, нарушающих авторские или смежные права правообладателей.</w:t>
      </w:r>
    </w:p>
    <w:p w:rsidR="00F13928" w:rsidRPr="00F13928" w:rsidRDefault="007630E9" w:rsidP="00F13928">
      <w:pPr>
        <w:pStyle w:val="a3"/>
        <w:numPr>
          <w:ilvl w:val="0"/>
          <w:numId w:val="2"/>
        </w:numPr>
        <w:spacing w:after="180" w:line="360" w:lineRule="atLeast"/>
        <w:rPr>
          <w:rFonts w:eastAsia="Times New Roman"/>
          <w:color w:val="262626" w:themeColor="text1" w:themeTint="D9"/>
        </w:rPr>
      </w:pPr>
      <w:r w:rsidRPr="00F13928">
        <w:rPr>
          <w:rFonts w:eastAsia="Times New Roman"/>
          <w:b/>
          <w:bCs/>
          <w:color w:val="262626" w:themeColor="text1" w:themeTint="D9"/>
        </w:rPr>
        <w:t>Запрещенный контент:</w:t>
      </w:r>
      <w:r w:rsidRPr="00F13928">
        <w:rPr>
          <w:rFonts w:eastAsia="Times New Roman"/>
          <w:color w:val="262626" w:themeColor="text1" w:themeTint="D9"/>
        </w:rPr>
        <w:t> размещение любых материалов, запрещенных действующим законодательством (включая призывы к насилию, экстремистские материалы, незаконный порнографический контент и т.д.).</w:t>
      </w:r>
      <w:r w:rsidR="00F13928" w:rsidRPr="00F13928">
        <w:rPr>
          <w:rFonts w:eastAsia="Times New Roman"/>
          <w:color w:val="262626" w:themeColor="text1" w:themeTint="D9"/>
        </w:rPr>
        <w:br/>
      </w:r>
      <w:r w:rsidR="00F13928" w:rsidRPr="00F13928">
        <w:rPr>
          <w:rFonts w:eastAsia="Times New Roman"/>
          <w:color w:val="262626" w:themeColor="text1" w:themeTint="D9"/>
        </w:rPr>
        <w:br/>
      </w:r>
      <w:r w:rsidR="00AC3C61" w:rsidRPr="00F13928">
        <w:rPr>
          <w:sz w:val="24"/>
          <w:szCs w:val="24"/>
          <w:u w:val="single"/>
        </w:rPr>
        <w:t xml:space="preserve">Лимиты </w:t>
      </w:r>
      <w:r w:rsidR="00F13928" w:rsidRPr="00F13928">
        <w:rPr>
          <w:sz w:val="24"/>
          <w:szCs w:val="24"/>
          <w:u w:val="single"/>
          <w:lang w:val="ru-RU"/>
        </w:rPr>
        <w:t>и ограничения</w:t>
      </w:r>
      <w:bookmarkStart w:id="0" w:name="_GoBack"/>
      <w:bookmarkEnd w:id="0"/>
      <w:r w:rsidR="00AC3C61" w:rsidRPr="00F13928">
        <w:rPr>
          <w:rFonts w:eastAsia="Times New Roman"/>
          <w:color w:val="262626" w:themeColor="text1" w:themeTint="D9"/>
          <w:lang w:val="ru-RU"/>
        </w:rPr>
        <w:br/>
      </w:r>
    </w:p>
    <w:p w:rsidR="001B7E11" w:rsidRPr="00F13928" w:rsidRDefault="00F13928" w:rsidP="00F13928">
      <w:pPr>
        <w:pStyle w:val="a3"/>
        <w:numPr>
          <w:ilvl w:val="0"/>
          <w:numId w:val="2"/>
        </w:numPr>
        <w:spacing w:after="180" w:line="360" w:lineRule="atLeast"/>
        <w:rPr>
          <w:rFonts w:eastAsia="Times New Roman"/>
          <w:color w:val="262626" w:themeColor="text1" w:themeTint="D9"/>
        </w:rPr>
      </w:pPr>
      <w:r w:rsidRPr="00F13928">
        <w:rPr>
          <w:b/>
          <w:lang w:val="ru-RU"/>
        </w:rPr>
        <w:t xml:space="preserve">Лимит </w:t>
      </w:r>
      <w:r w:rsidRPr="00F13928">
        <w:rPr>
          <w:b/>
        </w:rPr>
        <w:t>трафика и ограничение скорост</w:t>
      </w:r>
      <w:r w:rsidRPr="00F13928">
        <w:rPr>
          <w:b/>
          <w:lang w:val="ru-RU"/>
        </w:rPr>
        <w:t>и:</w:t>
      </w:r>
      <w:r w:rsidRPr="00F13928">
        <w:rPr>
          <w:lang w:val="uk-UA"/>
        </w:rPr>
        <w:br/>
        <w:t>В</w:t>
      </w:r>
      <w:r w:rsidR="00AC3C61">
        <w:t xml:space="preserve"> случае исчерпания предоплаченного месячного объема трафика (согласно выбранному тарифному плану) Исполнитель оставляет за собой право ограничить пропускную способность канала для услуг Game, VDS, Dedicated и IP-Transit до </w:t>
      </w:r>
      <w:r w:rsidR="00AC3C61" w:rsidRPr="00F13928">
        <w:rPr>
          <w:b/>
          <w:bCs/>
        </w:rPr>
        <w:t>1 Мбит/с</w:t>
      </w:r>
      <w:r w:rsidR="00AC3C61">
        <w:t>. Объем трафика восстанавливается каждые 30 дней. Во избежание применения ограничений Заказчик вправе в любое время приобрести дополнительный объем трафика по запросу.</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125" name="Group 6125"/>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568" name="Shape 568"/>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5" style="width:445pt;height:1pt;mso-position-horizontal-relative:char;mso-position-vertical-relative:line" coordsize="56515,127">
                <v:shape id="Shape 568"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SLA (Соглашение об уровне обслуживания) </w:t>
      </w:r>
    </w:p>
    <w:p w:rsidR="001B7E11" w:rsidRDefault="00F4718A">
      <w:pPr>
        <w:numPr>
          <w:ilvl w:val="0"/>
          <w:numId w:val="3"/>
        </w:numPr>
        <w:ind w:hanging="360"/>
      </w:pPr>
      <w:r>
        <w:t>Гарантированный аптайм: 99.</w:t>
      </w:r>
      <w:r>
        <w:rPr>
          <w:lang w:val="ru-RU"/>
        </w:rPr>
        <w:t>7</w:t>
      </w:r>
      <w:r w:rsidR="00967C2A">
        <w:t xml:space="preserve">% в месяц. </w:t>
      </w:r>
    </w:p>
    <w:p w:rsidR="001B7E11" w:rsidRDefault="00967C2A">
      <w:pPr>
        <w:spacing w:after="18" w:line="259" w:lineRule="auto"/>
        <w:ind w:left="720" w:firstLine="0"/>
      </w:pPr>
      <w:r>
        <w:t xml:space="preserve"> </w:t>
      </w:r>
    </w:p>
    <w:p w:rsidR="001B7E11" w:rsidRDefault="00967C2A">
      <w:pPr>
        <w:numPr>
          <w:ilvl w:val="0"/>
          <w:numId w:val="3"/>
        </w:numPr>
        <w:spacing w:after="248"/>
        <w:ind w:hanging="360"/>
      </w:pPr>
      <w:r>
        <w:t xml:space="preserve">В случае нарушения SLA предоставляется компенсация в размере до 10% от стоимости услуги за месяц пропорционально времени недоступности.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126" name="Group 6126"/>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633" name="Shape 633"/>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6" style="width:445pt;height:1pt;mso-position-horizontal-relative:char;mso-position-vertical-relative:line" coordsize="56515,127">
                <v:shape id="Shape 633"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Техническая поддержка </w:t>
      </w:r>
    </w:p>
    <w:p w:rsidR="001B7E11" w:rsidRDefault="00967C2A">
      <w:pPr>
        <w:numPr>
          <w:ilvl w:val="0"/>
          <w:numId w:val="4"/>
        </w:numPr>
        <w:ind w:hanging="360"/>
      </w:pPr>
      <w:r>
        <w:t xml:space="preserve">Время работы: ежедневно, 8:00–23:00 (МСК). </w:t>
      </w:r>
    </w:p>
    <w:p w:rsidR="001B7E11" w:rsidRDefault="00967C2A">
      <w:pPr>
        <w:spacing w:after="18" w:line="259" w:lineRule="auto"/>
        <w:ind w:left="720" w:firstLine="0"/>
      </w:pPr>
      <w:r>
        <w:t xml:space="preserve"> </w:t>
      </w:r>
    </w:p>
    <w:p w:rsidR="001B7E11" w:rsidRDefault="00967C2A">
      <w:pPr>
        <w:numPr>
          <w:ilvl w:val="0"/>
          <w:numId w:val="4"/>
        </w:numPr>
        <w:ind w:hanging="360"/>
      </w:pPr>
      <w:r>
        <w:t xml:space="preserve">Среднее время первого ответа: до 2 часов. </w:t>
      </w:r>
    </w:p>
    <w:p w:rsidR="001B7E11" w:rsidRDefault="00967C2A">
      <w:pPr>
        <w:spacing w:after="18" w:line="259" w:lineRule="auto"/>
        <w:ind w:left="720" w:firstLine="0"/>
      </w:pPr>
      <w:r>
        <w:t xml:space="preserve"> </w:t>
      </w:r>
    </w:p>
    <w:p w:rsidR="001B7E11" w:rsidRDefault="00967C2A">
      <w:pPr>
        <w:numPr>
          <w:ilvl w:val="0"/>
          <w:numId w:val="4"/>
        </w:numPr>
        <w:ind w:hanging="360"/>
      </w:pPr>
      <w:r>
        <w:t xml:space="preserve">В рамках поддержки: перезагрузка, переустановка ОС, консультации по работе панели. </w:t>
      </w:r>
    </w:p>
    <w:p w:rsidR="001B7E11" w:rsidRDefault="00967C2A">
      <w:pPr>
        <w:spacing w:after="18" w:line="259" w:lineRule="auto"/>
        <w:ind w:left="720" w:firstLine="0"/>
      </w:pPr>
      <w:r>
        <w:t xml:space="preserve"> </w:t>
      </w:r>
    </w:p>
    <w:p w:rsidR="001B7E11" w:rsidRDefault="00967C2A">
      <w:pPr>
        <w:numPr>
          <w:ilvl w:val="0"/>
          <w:numId w:val="4"/>
        </w:numPr>
        <w:spacing w:after="248"/>
        <w:ind w:hanging="360"/>
      </w:pPr>
      <w:r>
        <w:t xml:space="preserve">Не входят: администрирование пользовательских приложений, оптимизация кода, настройка сторонних сервисов.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127" name="Group 6127"/>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716" name="Shape 716"/>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27" style="width:445pt;height:1pt;mso-position-horizontal-relative:char;mso-position-vertical-relative:line" coordsize="56515,127">
                <v:shape id="Shape 716"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Права и обязанности сторон </w:t>
      </w:r>
    </w:p>
    <w:p w:rsidR="001B7E11" w:rsidRDefault="00967C2A">
      <w:pPr>
        <w:spacing w:after="258" w:line="259" w:lineRule="auto"/>
        <w:ind w:left="-5" w:hanging="10"/>
      </w:pPr>
      <w:r>
        <w:rPr>
          <w:b/>
        </w:rPr>
        <w:t xml:space="preserve">Обязанности Исполнителя: </w:t>
      </w:r>
    </w:p>
    <w:p w:rsidR="001B7E11" w:rsidRDefault="00967C2A">
      <w:pPr>
        <w:numPr>
          <w:ilvl w:val="0"/>
          <w:numId w:val="5"/>
        </w:numPr>
        <w:ind w:hanging="360"/>
      </w:pPr>
      <w:r>
        <w:t xml:space="preserve">Предоставить услуги в срок и в соответствии с тарифом. </w:t>
      </w:r>
    </w:p>
    <w:p w:rsidR="001B7E11" w:rsidRDefault="00967C2A">
      <w:pPr>
        <w:spacing w:after="18" w:line="259" w:lineRule="auto"/>
        <w:ind w:left="720" w:firstLine="0"/>
      </w:pPr>
      <w:r>
        <w:t xml:space="preserve"> </w:t>
      </w:r>
    </w:p>
    <w:p w:rsidR="001B7E11" w:rsidRDefault="00967C2A">
      <w:pPr>
        <w:numPr>
          <w:ilvl w:val="0"/>
          <w:numId w:val="5"/>
        </w:numPr>
        <w:ind w:hanging="360"/>
      </w:pPr>
      <w:r>
        <w:t xml:space="preserve">Обеспечить техническую поддержку. </w:t>
      </w:r>
    </w:p>
    <w:p w:rsidR="001B7E11" w:rsidRDefault="00967C2A">
      <w:pPr>
        <w:spacing w:after="258" w:line="259" w:lineRule="auto"/>
        <w:ind w:left="-5" w:hanging="10"/>
      </w:pPr>
      <w:r>
        <w:rPr>
          <w:b/>
        </w:rPr>
        <w:t xml:space="preserve">Обязанности Заказчика: </w:t>
      </w:r>
    </w:p>
    <w:p w:rsidR="001B7E11" w:rsidRDefault="00967C2A">
      <w:pPr>
        <w:numPr>
          <w:ilvl w:val="0"/>
          <w:numId w:val="5"/>
        </w:numPr>
        <w:ind w:hanging="360"/>
      </w:pPr>
      <w:r>
        <w:t xml:space="preserve">Соблюдать правила использования услуг. </w:t>
      </w:r>
    </w:p>
    <w:p w:rsidR="001B7E11" w:rsidRDefault="00967C2A">
      <w:pPr>
        <w:spacing w:after="18" w:line="259" w:lineRule="auto"/>
        <w:ind w:left="720" w:firstLine="0"/>
      </w:pPr>
      <w:r>
        <w:t xml:space="preserve"> </w:t>
      </w:r>
    </w:p>
    <w:p w:rsidR="001B7E11" w:rsidRDefault="00967C2A">
      <w:pPr>
        <w:numPr>
          <w:ilvl w:val="0"/>
          <w:numId w:val="5"/>
        </w:numPr>
        <w:spacing w:after="250"/>
        <w:ind w:hanging="360"/>
      </w:pPr>
      <w:r>
        <w:t xml:space="preserve">Не допускать действий, нарушающих законодательство. </w:t>
      </w:r>
    </w:p>
    <w:p w:rsidR="001B7E11" w:rsidRDefault="00967C2A">
      <w:pPr>
        <w:spacing w:after="258" w:line="259" w:lineRule="auto"/>
        <w:ind w:left="-5" w:hanging="10"/>
      </w:pPr>
      <w:r>
        <w:rPr>
          <w:b/>
        </w:rPr>
        <w:t xml:space="preserve">Права Исполнителя: </w:t>
      </w:r>
    </w:p>
    <w:p w:rsidR="001B7E11" w:rsidRDefault="00967C2A">
      <w:pPr>
        <w:numPr>
          <w:ilvl w:val="0"/>
          <w:numId w:val="5"/>
        </w:numPr>
        <w:spacing w:after="248"/>
        <w:ind w:hanging="360"/>
      </w:pPr>
      <w:r>
        <w:t xml:space="preserve">Временно ограничить или отключить услугу при нарушении условий или чрезмерной нагрузке.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003" name="Group 6003"/>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830" name="Shape 83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03" style="width:445pt;height:1pt;mso-position-horizontal-relative:char;mso-position-vertical-relative:line" coordsize="56515,127">
                <v:shape id="Shape 830"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A21648" w:rsidRPr="005E0CAF" w:rsidRDefault="00A21648" w:rsidP="00A21648">
      <w:pPr>
        <w:spacing w:after="0" w:line="420" w:lineRule="atLeast"/>
        <w:ind w:left="0" w:firstLine="0"/>
        <w:rPr>
          <w:rFonts w:eastAsia="Times New Roman"/>
          <w:b/>
          <w:bCs/>
          <w:color w:val="262626" w:themeColor="text1" w:themeTint="D9"/>
          <w:sz w:val="26"/>
          <w:szCs w:val="26"/>
        </w:rPr>
      </w:pPr>
      <w:r w:rsidRPr="005E0CAF">
        <w:rPr>
          <w:rFonts w:eastAsia="Times New Roman"/>
          <w:b/>
          <w:bCs/>
          <w:color w:val="262626" w:themeColor="text1" w:themeTint="D9"/>
          <w:sz w:val="26"/>
          <w:szCs w:val="26"/>
        </w:rPr>
        <w:t>6. Стоимость и порядок оплаты</w:t>
      </w:r>
      <w:r>
        <w:rPr>
          <w:rFonts w:eastAsia="Times New Roman"/>
          <w:b/>
          <w:bCs/>
          <w:color w:val="262626" w:themeColor="text1" w:themeTint="D9"/>
          <w:sz w:val="26"/>
          <w:szCs w:val="26"/>
        </w:rPr>
        <w:br/>
      </w:r>
    </w:p>
    <w:p w:rsidR="00A21648" w:rsidRPr="00A21648" w:rsidRDefault="00A21648" w:rsidP="00A21648">
      <w:pPr>
        <w:pStyle w:val="a3"/>
        <w:numPr>
          <w:ilvl w:val="0"/>
          <w:numId w:val="14"/>
        </w:numPr>
        <w:spacing w:after="180" w:line="360" w:lineRule="atLeast"/>
        <w:rPr>
          <w:rFonts w:eastAsia="Times New Roman"/>
          <w:color w:val="262626" w:themeColor="text1" w:themeTint="D9"/>
          <w:sz w:val="24"/>
          <w:szCs w:val="24"/>
        </w:rPr>
      </w:pPr>
      <w:r w:rsidRPr="00A21648">
        <w:rPr>
          <w:rFonts w:eastAsia="Times New Roman"/>
          <w:b/>
          <w:bCs/>
          <w:color w:val="262626" w:themeColor="text1" w:themeTint="D9"/>
        </w:rPr>
        <w:t>Условия возврата при надлежащем качестве услуг:</w:t>
      </w:r>
      <w:r w:rsidRPr="00A21648">
        <w:rPr>
          <w:rFonts w:eastAsia="Times New Roman"/>
          <w:color w:val="262626" w:themeColor="text1" w:themeTint="D9"/>
          <w:sz w:val="24"/>
          <w:szCs w:val="24"/>
        </w:rPr>
        <w:br/>
      </w:r>
      <w:r w:rsidRPr="00A21648">
        <w:rPr>
          <w:rFonts w:eastAsia="Times New Roman"/>
          <w:color w:val="262626" w:themeColor="text1" w:themeTint="D9"/>
        </w:rPr>
        <w:t>Заказчик вправе запросить возврат денежных средств за оплаченную Услугу в течение 7 (семи) календарных дней с момента ее активации. Возврат осуществляется за вычетом стоимости фактически использованных дней.</w:t>
      </w:r>
      <w:r>
        <w:rPr>
          <w:rFonts w:eastAsia="Times New Roman"/>
          <w:color w:val="262626" w:themeColor="text1" w:themeTint="D9"/>
        </w:rPr>
        <w:br/>
      </w:r>
    </w:p>
    <w:p w:rsidR="00A21648" w:rsidRPr="00A21648" w:rsidRDefault="00A21648" w:rsidP="00A21648">
      <w:pPr>
        <w:pStyle w:val="a3"/>
        <w:numPr>
          <w:ilvl w:val="0"/>
          <w:numId w:val="14"/>
        </w:numPr>
        <w:spacing w:after="180" w:line="360" w:lineRule="atLeast"/>
        <w:rPr>
          <w:rFonts w:eastAsia="Times New Roman"/>
          <w:color w:val="262626" w:themeColor="text1" w:themeTint="D9"/>
        </w:rPr>
      </w:pPr>
      <w:r w:rsidRPr="00A21648">
        <w:rPr>
          <w:rFonts w:eastAsia="Times New Roman"/>
          <w:b/>
          <w:bCs/>
          <w:color w:val="262626" w:themeColor="text1" w:themeTint="D9"/>
        </w:rPr>
        <w:t>Ограничения по истечении срока:</w:t>
      </w:r>
      <w:r w:rsidRPr="00A21648">
        <w:rPr>
          <w:rFonts w:eastAsia="Times New Roman"/>
          <w:color w:val="262626" w:themeColor="text1" w:themeTint="D9"/>
        </w:rPr>
        <w:t> По истечении 7 (семи) календарных дней с момента оплаты или активации Услуги возврат средств на внешние счета (банковские карты, электронные кошельки) не производится. По запросу Заказчика Исполнитель вправе осуществить возврат неиспользованного остатка средств на внутренний баланс биллинговой системы (личный кабинет) в любое время.</w:t>
      </w:r>
      <w:r>
        <w:rPr>
          <w:rFonts w:eastAsia="Times New Roman"/>
          <w:color w:val="262626" w:themeColor="text1" w:themeTint="D9"/>
        </w:rPr>
        <w:br/>
      </w:r>
    </w:p>
    <w:p w:rsidR="00A21648" w:rsidRPr="00A21648" w:rsidRDefault="00A21648" w:rsidP="00A21648">
      <w:pPr>
        <w:pStyle w:val="a3"/>
        <w:numPr>
          <w:ilvl w:val="0"/>
          <w:numId w:val="14"/>
        </w:numPr>
        <w:spacing w:after="180" w:line="360" w:lineRule="atLeast"/>
        <w:rPr>
          <w:rFonts w:eastAsia="Times New Roman"/>
          <w:color w:val="262626" w:themeColor="text1" w:themeTint="D9"/>
        </w:rPr>
      </w:pPr>
      <w:r w:rsidRPr="00A21648">
        <w:rPr>
          <w:rFonts w:eastAsia="Times New Roman"/>
          <w:b/>
          <w:bCs/>
          <w:color w:val="262626" w:themeColor="text1" w:themeTint="D9"/>
        </w:rPr>
        <w:t>Условия возврата при ненадлежащем качестве услуг:</w:t>
      </w:r>
      <w:r w:rsidRPr="00A21648">
        <w:rPr>
          <w:rFonts w:eastAsia="Times New Roman"/>
          <w:color w:val="262626" w:themeColor="text1" w:themeTint="D9"/>
        </w:rPr>
        <w:t> В случае неоказания Услуг или их оказания в ненадлежащем качестве по вине Исполнителя, возврат денежных средств осуществляется в полном объеме или пропорционально неиспользованному времени в течение 7 (семи) рабочих дней с момента получения обоснованной претензии Заказчика.</w:t>
      </w:r>
      <w:r>
        <w:rPr>
          <w:rFonts w:eastAsia="Times New Roman"/>
          <w:color w:val="262626" w:themeColor="text1" w:themeTint="D9"/>
        </w:rPr>
        <w:br/>
      </w:r>
    </w:p>
    <w:p w:rsidR="00A21648" w:rsidRPr="00A21648" w:rsidRDefault="00A21648" w:rsidP="00A21648">
      <w:pPr>
        <w:pStyle w:val="a3"/>
        <w:numPr>
          <w:ilvl w:val="0"/>
          <w:numId w:val="14"/>
        </w:numPr>
        <w:spacing w:after="180" w:line="360" w:lineRule="atLeast"/>
        <w:rPr>
          <w:rFonts w:eastAsia="Times New Roman"/>
          <w:color w:val="262626" w:themeColor="text1" w:themeTint="D9"/>
          <w:sz w:val="24"/>
          <w:szCs w:val="24"/>
        </w:rPr>
      </w:pPr>
      <w:r w:rsidRPr="00A21648">
        <w:rPr>
          <w:rFonts w:eastAsia="Times New Roman"/>
          <w:b/>
          <w:bCs/>
          <w:color w:val="262626" w:themeColor="text1" w:themeTint="D9"/>
        </w:rPr>
        <w:t>Последствия нарушения сроков оплаты:</w:t>
      </w:r>
      <w:r w:rsidRPr="00A21648">
        <w:rPr>
          <w:rFonts w:eastAsia="Times New Roman"/>
          <w:color w:val="262626" w:themeColor="text1" w:themeTint="D9"/>
        </w:rPr>
        <w:t> При отсутствии оплаты в день истечения срока действия Услуги, доступ к ней автоматически приостанавливается. В случае отсутствия оплаты в течение 7 (семи)</w:t>
      </w:r>
      <w:r w:rsidRPr="00A21648">
        <w:rPr>
          <w:rFonts w:eastAsia="Times New Roman"/>
          <w:color w:val="262626" w:themeColor="text1" w:themeTint="D9"/>
          <w:sz w:val="24"/>
          <w:szCs w:val="24"/>
        </w:rPr>
        <w:t xml:space="preserve"> календарных дней с момента приостановки</w:t>
      </w:r>
      <w:r>
        <w:rPr>
          <w:rFonts w:eastAsia="Times New Roman"/>
          <w:color w:val="262626" w:themeColor="text1" w:themeTint="D9"/>
          <w:sz w:val="24"/>
          <w:szCs w:val="24"/>
          <w:lang w:val="ru-RU"/>
        </w:rPr>
        <w:t xml:space="preserve"> услуги</w:t>
      </w:r>
      <w:r w:rsidRPr="00A21648">
        <w:rPr>
          <w:rFonts w:eastAsia="Times New Roman"/>
          <w:color w:val="262626" w:themeColor="text1" w:themeTint="D9"/>
          <w:sz w:val="24"/>
          <w:szCs w:val="24"/>
        </w:rPr>
        <w:t>, все данные</w:t>
      </w:r>
      <w:r>
        <w:rPr>
          <w:rFonts w:eastAsia="Times New Roman"/>
          <w:color w:val="262626" w:themeColor="text1" w:themeTint="D9"/>
          <w:sz w:val="24"/>
          <w:szCs w:val="24"/>
          <w:lang w:val="ru-RU"/>
        </w:rPr>
        <w:t xml:space="preserve"> услуги</w:t>
      </w:r>
      <w:r w:rsidRPr="00A21648">
        <w:rPr>
          <w:rFonts w:eastAsia="Times New Roman"/>
          <w:color w:val="262626" w:themeColor="text1" w:themeTint="D9"/>
          <w:sz w:val="24"/>
          <w:szCs w:val="24"/>
        </w:rPr>
        <w:t xml:space="preserve"> Заказчика удаляются биллинговой системой без возможности восстановления.</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004" name="Group 6004"/>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958" name="Shape 958"/>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04" style="width:445pt;height:1pt;mso-position-horizontal-relative:char;mso-position-vertical-relative:line" coordsize="56515,127">
                <v:shape id="Shape 958"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Ответственность сторон </w:t>
      </w:r>
    </w:p>
    <w:p w:rsidR="001B7E11" w:rsidRDefault="00967C2A">
      <w:pPr>
        <w:numPr>
          <w:ilvl w:val="0"/>
          <w:numId w:val="7"/>
        </w:numPr>
        <w:ind w:hanging="360"/>
      </w:pPr>
      <w:r>
        <w:t xml:space="preserve">Исполнитель не несёт ответственности за убытки, вызванные действиями третьих лиц или Заказчика. </w:t>
      </w:r>
    </w:p>
    <w:p w:rsidR="001B7E11" w:rsidRDefault="00967C2A">
      <w:pPr>
        <w:spacing w:after="18" w:line="259" w:lineRule="auto"/>
        <w:ind w:left="720" w:firstLine="0"/>
      </w:pPr>
      <w:r>
        <w:t xml:space="preserve"> </w:t>
      </w:r>
    </w:p>
    <w:p w:rsidR="001B7E11" w:rsidRDefault="00967C2A">
      <w:pPr>
        <w:numPr>
          <w:ilvl w:val="0"/>
          <w:numId w:val="7"/>
        </w:numPr>
        <w:ind w:hanging="360"/>
      </w:pPr>
      <w:r>
        <w:t xml:space="preserve">Заказчик несет ответственность за содержимое, размещенное на услугах Виртуальном/Игровом/Выделенном сервере. </w:t>
      </w:r>
    </w:p>
    <w:p w:rsidR="001B7E11" w:rsidRDefault="00967C2A">
      <w:pPr>
        <w:spacing w:after="18" w:line="259" w:lineRule="auto"/>
        <w:ind w:left="720" w:firstLine="0"/>
      </w:pPr>
      <w:r>
        <w:t xml:space="preserve"> </w:t>
      </w:r>
    </w:p>
    <w:p w:rsidR="001B7E11" w:rsidRDefault="00967C2A">
      <w:pPr>
        <w:numPr>
          <w:ilvl w:val="0"/>
          <w:numId w:val="7"/>
        </w:numPr>
        <w:spacing w:after="250"/>
        <w:ind w:hanging="360"/>
      </w:pPr>
      <w:r>
        <w:t xml:space="preserve">Форс-мажор освобождает стороны от ответственности.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006" name="Group 6006"/>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028" name="Shape 1028"/>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06" style="width:445pt;height:1pt;mso-position-horizontal-relative:char;mso-position-vertical-relative:line" coordsize="56515,127">
                <v:shape id="Shape 1028"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 xml:space="preserve">Расторжение договора </w:t>
      </w:r>
    </w:p>
    <w:p w:rsidR="001B7E11" w:rsidRDefault="00967C2A">
      <w:pPr>
        <w:numPr>
          <w:ilvl w:val="0"/>
          <w:numId w:val="8"/>
        </w:numPr>
        <w:ind w:hanging="360"/>
      </w:pPr>
      <w:r>
        <w:t xml:space="preserve">Заказчик может расторгнуть договор, направив письменное уведомление за 3 дня. </w:t>
      </w:r>
    </w:p>
    <w:p w:rsidR="001B7E11" w:rsidRDefault="00967C2A">
      <w:pPr>
        <w:spacing w:after="18" w:line="259" w:lineRule="auto"/>
        <w:ind w:left="720" w:firstLine="0"/>
      </w:pPr>
      <w:r>
        <w:t xml:space="preserve"> </w:t>
      </w:r>
    </w:p>
    <w:p w:rsidR="001B7E11" w:rsidRDefault="00967C2A">
      <w:pPr>
        <w:numPr>
          <w:ilvl w:val="0"/>
          <w:numId w:val="8"/>
        </w:numPr>
        <w:spacing w:after="248"/>
        <w:ind w:hanging="360"/>
      </w:pPr>
      <w:r>
        <w:t xml:space="preserve">Исполнитель может расторгнуть договор при нарушении условий или законодательства. </w:t>
      </w:r>
    </w:p>
    <w:p w:rsidR="001B7E11" w:rsidRDefault="00967C2A">
      <w:pPr>
        <w:spacing w:after="0"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6007" name="Group 6007"/>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079" name="Shape 1079"/>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07" style="width:445pt;height:1pt;mso-position-horizontal-relative:char;mso-position-vertical-relative:line" coordsize="56515,127">
                <v:shape id="Shape 1079"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274" w:hanging="289"/>
      </w:pPr>
      <w:r>
        <w:t>Политика возврата</w:t>
      </w:r>
      <w:r>
        <w:rPr>
          <w:b w:val="0"/>
          <w:color w:val="434343"/>
          <w:sz w:val="28"/>
        </w:rPr>
        <w:t xml:space="preserve"> </w:t>
      </w:r>
    </w:p>
    <w:p w:rsidR="001B7E11" w:rsidRDefault="00967C2A">
      <w:pPr>
        <w:numPr>
          <w:ilvl w:val="0"/>
          <w:numId w:val="9"/>
        </w:numPr>
        <w:ind w:hanging="360"/>
      </w:pPr>
      <w:r>
        <w:t xml:space="preserve">В случае, если услуга не была оказана в полной мере или была оказана в ненадлежащем качестве (баланс личного кабинета не был пополнен или сумма пополнения отличается от расчетной суммы при оплате заказа), заказчик имеет право отказаться от услуги — возврат средств или повтор услуги по обращению на email admin@lendnodes.cloud. </w:t>
      </w:r>
    </w:p>
    <w:p w:rsidR="001B7E11" w:rsidRDefault="00967C2A">
      <w:pPr>
        <w:spacing w:after="18" w:line="259" w:lineRule="auto"/>
        <w:ind w:left="720" w:firstLine="0"/>
      </w:pPr>
      <w:r>
        <w:t xml:space="preserve"> </w:t>
      </w:r>
    </w:p>
    <w:p w:rsidR="001B7E11" w:rsidRDefault="00967C2A">
      <w:pPr>
        <w:numPr>
          <w:ilvl w:val="0"/>
          <w:numId w:val="9"/>
        </w:numPr>
        <w:ind w:hanging="360"/>
      </w:pPr>
      <w:r>
        <w:t xml:space="preserve">Срок рассмотрения претензий и возврата средств — до 7 рабочих дней. </w:t>
      </w:r>
    </w:p>
    <w:p w:rsidR="001B7E11" w:rsidRDefault="00967C2A">
      <w:pPr>
        <w:spacing w:after="18" w:line="259" w:lineRule="auto"/>
        <w:ind w:left="720" w:firstLine="0"/>
      </w:pPr>
      <w:r>
        <w:t xml:space="preserve"> </w:t>
      </w:r>
    </w:p>
    <w:p w:rsidR="001B7E11" w:rsidRDefault="00967C2A">
      <w:pPr>
        <w:numPr>
          <w:ilvl w:val="0"/>
          <w:numId w:val="9"/>
        </w:numPr>
        <w:spacing w:after="250"/>
        <w:ind w:hanging="360"/>
      </w:pPr>
      <w:r>
        <w:t xml:space="preserve">Возврат на тот же способ оплаты или иным способом по согласованию. </w:t>
      </w:r>
    </w:p>
    <w:p w:rsidR="001B7E11" w:rsidRDefault="00967C2A">
      <w:pPr>
        <w:spacing w:after="335" w:line="259" w:lineRule="auto"/>
        <w:ind w:left="0" w:firstLine="0"/>
        <w:jc w:val="right"/>
      </w:pPr>
      <w:r>
        <w:rPr>
          <w:rFonts w:ascii="Calibri" w:eastAsia="Calibri" w:hAnsi="Calibri" w:cs="Calibri"/>
          <w:noProof/>
        </w:rPr>
        <mc:AlternateContent>
          <mc:Choice Requires="wpg">
            <w:drawing>
              <wp:inline distT="0" distB="0" distL="0" distR="0">
                <wp:extent cx="5651500" cy="12700"/>
                <wp:effectExtent l="0" t="0" r="0" b="0"/>
                <wp:docPr id="5960" name="Group 5960"/>
                <wp:cNvGraphicFramePr/>
                <a:graphic xmlns:a="http://schemas.openxmlformats.org/drawingml/2006/main">
                  <a:graphicData uri="http://schemas.microsoft.com/office/word/2010/wordprocessingGroup">
                    <wpg:wgp>
                      <wpg:cNvGrpSpPr/>
                      <wpg:grpSpPr>
                        <a:xfrm>
                          <a:off x="0" y="0"/>
                          <a:ext cx="5651500" cy="12700"/>
                          <a:chOff x="0" y="0"/>
                          <a:chExt cx="5651500" cy="12700"/>
                        </a:xfrm>
                      </wpg:grpSpPr>
                      <wps:wsp>
                        <wps:cNvPr id="1240" name="Shape 1240"/>
                        <wps:cNvSpPr/>
                        <wps:spPr>
                          <a:xfrm>
                            <a:off x="0" y="0"/>
                            <a:ext cx="5651500" cy="0"/>
                          </a:xfrm>
                          <a:custGeom>
                            <a:avLst/>
                            <a:gdLst/>
                            <a:ahLst/>
                            <a:cxnLst/>
                            <a:rect l="0" t="0" r="0" b="0"/>
                            <a:pathLst>
                              <a:path w="5651500">
                                <a:moveTo>
                                  <a:pt x="0" y="0"/>
                                </a:moveTo>
                                <a:lnTo>
                                  <a:pt x="56515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60" style="width:445pt;height:1pt;mso-position-horizontal-relative:char;mso-position-vertical-relative:line" coordsize="56515,127">
                <v:shape id="Shape 1240" style="position:absolute;width:56515;height:0;left:0;top:0;" coordsize="5651500,0" path="m0,0l5651500,0">
                  <v:stroke weight="1pt" endcap="flat" joinstyle="miter" miterlimit="10" on="true" color="#888888"/>
                  <v:fill on="false" color="#000000" opacity="0"/>
                </v:shape>
              </v:group>
            </w:pict>
          </mc:Fallback>
        </mc:AlternateContent>
      </w:r>
      <w:r>
        <w:t xml:space="preserve"> </w:t>
      </w:r>
    </w:p>
    <w:p w:rsidR="001B7E11" w:rsidRDefault="00967C2A">
      <w:pPr>
        <w:pStyle w:val="1"/>
        <w:ind w:left="419" w:hanging="434"/>
      </w:pPr>
      <w:r>
        <w:t xml:space="preserve">Прочие условия </w:t>
      </w:r>
    </w:p>
    <w:p w:rsidR="001B7E11" w:rsidRDefault="00967C2A">
      <w:pPr>
        <w:numPr>
          <w:ilvl w:val="0"/>
          <w:numId w:val="10"/>
        </w:numPr>
        <w:ind w:hanging="360"/>
      </w:pPr>
      <w:r>
        <w:t xml:space="preserve">Все данные, предоставленные Заказчиком, конфиденциальны. </w:t>
      </w:r>
    </w:p>
    <w:p w:rsidR="001B7E11" w:rsidRDefault="00967C2A">
      <w:pPr>
        <w:spacing w:after="18" w:line="259" w:lineRule="auto"/>
        <w:ind w:left="720" w:firstLine="0"/>
      </w:pPr>
      <w:r>
        <w:t xml:space="preserve"> </w:t>
      </w:r>
    </w:p>
    <w:p w:rsidR="001B7E11" w:rsidRDefault="00967C2A">
      <w:pPr>
        <w:numPr>
          <w:ilvl w:val="0"/>
          <w:numId w:val="10"/>
        </w:numPr>
        <w:ind w:hanging="360"/>
      </w:pPr>
      <w:r>
        <w:t xml:space="preserve">Все уведомления направляются на указанный email и считаются полученными через 24 часа. </w:t>
      </w:r>
      <w:r w:rsidR="00DB5650">
        <w:br/>
      </w:r>
      <w:r w:rsidR="00DB5650">
        <w:br/>
      </w:r>
      <w:r w:rsidR="00DB5650">
        <w:br/>
      </w:r>
      <w:r w:rsidR="00E03BD5">
        <w:br/>
      </w:r>
      <w:r w:rsidR="00E03BD5">
        <w:br/>
      </w:r>
      <w:r w:rsidR="00E54B3A" w:rsidRPr="00E54B3A">
        <w:rPr>
          <w:u w:val="single"/>
        </w:rPr>
        <w:t>Дата последнего обновления политики: 04.02.2026</w:t>
      </w:r>
      <w:r w:rsidR="00A21648">
        <w:br/>
      </w:r>
      <w:r w:rsidR="00A21648">
        <w:br/>
      </w:r>
      <w:r w:rsidR="00A21648">
        <w:br/>
      </w:r>
      <w:r w:rsidR="00A21648">
        <w:br/>
      </w:r>
      <w:r w:rsidR="00A21648">
        <w:br/>
      </w:r>
      <w:r w:rsidR="00A21648">
        <w:br/>
      </w:r>
      <w:r w:rsidR="00A21648">
        <w:br/>
      </w:r>
      <w:r w:rsidR="00A21648">
        <w:br/>
      </w:r>
      <w:r w:rsidR="00A21648">
        <w:br/>
      </w:r>
      <w:r w:rsidR="00A21648">
        <w:br/>
      </w:r>
    </w:p>
    <w:sectPr w:rsidR="001B7E11">
      <w:pgSz w:w="11920" w:h="16840"/>
      <w:pgMar w:top="1486" w:right="1393" w:bottom="1566"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15DA7"/>
    <w:multiLevelType w:val="hybridMultilevel"/>
    <w:tmpl w:val="50B6A7DA"/>
    <w:lvl w:ilvl="0" w:tplc="D0447C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BE3A6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98A0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7A17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0A11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AA51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D29D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2C64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AA95F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A74ACC"/>
    <w:multiLevelType w:val="multilevel"/>
    <w:tmpl w:val="95F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CD5C55"/>
    <w:multiLevelType w:val="hybridMultilevel"/>
    <w:tmpl w:val="ED182F2C"/>
    <w:lvl w:ilvl="0" w:tplc="F8E40D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EEBC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0049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0A9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4BE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F6271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2C6C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B23E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50D5E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D34669"/>
    <w:multiLevelType w:val="hybridMultilevel"/>
    <w:tmpl w:val="C1346BA8"/>
    <w:lvl w:ilvl="0" w:tplc="7E2AA8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AA8B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76067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BC2D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70AB1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4218C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6659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84FBB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CCF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E0755F"/>
    <w:multiLevelType w:val="hybridMultilevel"/>
    <w:tmpl w:val="43DCA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302310"/>
    <w:multiLevelType w:val="hybridMultilevel"/>
    <w:tmpl w:val="89889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16902"/>
    <w:multiLevelType w:val="hybridMultilevel"/>
    <w:tmpl w:val="9AD0C7EA"/>
    <w:lvl w:ilvl="0" w:tplc="E122939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66CB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26DE9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16BB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7C647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016D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423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AC32A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0082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7735D3"/>
    <w:multiLevelType w:val="hybridMultilevel"/>
    <w:tmpl w:val="5D563A82"/>
    <w:lvl w:ilvl="0" w:tplc="0D446A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245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40E1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6DA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067A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B065F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E2CE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49F6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5C00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CD0E78"/>
    <w:multiLevelType w:val="hybridMultilevel"/>
    <w:tmpl w:val="968037CC"/>
    <w:lvl w:ilvl="0" w:tplc="F4EA72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43F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C403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8A6D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26D86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C850C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4C6A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C059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9033A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57378B"/>
    <w:multiLevelType w:val="hybridMultilevel"/>
    <w:tmpl w:val="3404E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A174D4"/>
    <w:multiLevelType w:val="multilevel"/>
    <w:tmpl w:val="7B9A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3387A"/>
    <w:multiLevelType w:val="hybridMultilevel"/>
    <w:tmpl w:val="B57E1494"/>
    <w:lvl w:ilvl="0" w:tplc="C0D4FD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A180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B269F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508D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2A8EF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C2F76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A4E5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078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B058B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96151E"/>
    <w:multiLevelType w:val="hybridMultilevel"/>
    <w:tmpl w:val="A3E2B94C"/>
    <w:lvl w:ilvl="0" w:tplc="4F6C34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CCE38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FA746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4D5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12C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3E17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84B0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C6A78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68C4D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BA4004"/>
    <w:multiLevelType w:val="hybridMultilevel"/>
    <w:tmpl w:val="359AE43C"/>
    <w:lvl w:ilvl="0" w:tplc="5A3E83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64C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E043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9A34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6E18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D82BF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0227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78CD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349D8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AB6392"/>
    <w:multiLevelType w:val="hybridMultilevel"/>
    <w:tmpl w:val="5104816C"/>
    <w:lvl w:ilvl="0" w:tplc="81D41DFE">
      <w:start w:val="1"/>
      <w:numFmt w:val="decimal"/>
      <w:pStyle w:val="1"/>
      <w:lvlText w:val="%1."/>
      <w:lvlJc w:val="left"/>
      <w:pPr>
        <w:ind w:left="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EC4A91F0">
      <w:start w:val="1"/>
      <w:numFmt w:val="lowerLetter"/>
      <w:lvlText w:val="%2"/>
      <w:lvlJc w:val="left"/>
      <w:pPr>
        <w:ind w:left="10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1D4AEBAC">
      <w:start w:val="1"/>
      <w:numFmt w:val="lowerRoman"/>
      <w:lvlText w:val="%3"/>
      <w:lvlJc w:val="left"/>
      <w:pPr>
        <w:ind w:left="18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A776E990">
      <w:start w:val="1"/>
      <w:numFmt w:val="decimal"/>
      <w:lvlText w:val="%4"/>
      <w:lvlJc w:val="left"/>
      <w:pPr>
        <w:ind w:left="25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E108A02E">
      <w:start w:val="1"/>
      <w:numFmt w:val="lowerLetter"/>
      <w:lvlText w:val="%5"/>
      <w:lvlJc w:val="left"/>
      <w:pPr>
        <w:ind w:left="32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B4C2E680">
      <w:start w:val="1"/>
      <w:numFmt w:val="lowerRoman"/>
      <w:lvlText w:val="%6"/>
      <w:lvlJc w:val="left"/>
      <w:pPr>
        <w:ind w:left="39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78C488A0">
      <w:start w:val="1"/>
      <w:numFmt w:val="decimal"/>
      <w:lvlText w:val="%7"/>
      <w:lvlJc w:val="left"/>
      <w:pPr>
        <w:ind w:left="46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FB467A12">
      <w:start w:val="1"/>
      <w:numFmt w:val="lowerLetter"/>
      <w:lvlText w:val="%8"/>
      <w:lvlJc w:val="left"/>
      <w:pPr>
        <w:ind w:left="54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A6D2732C">
      <w:start w:val="1"/>
      <w:numFmt w:val="lowerRoman"/>
      <w:lvlText w:val="%9"/>
      <w:lvlJc w:val="left"/>
      <w:pPr>
        <w:ind w:left="61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CC804CB"/>
    <w:multiLevelType w:val="hybridMultilevel"/>
    <w:tmpl w:val="6CF2DE26"/>
    <w:lvl w:ilvl="0" w:tplc="51E2DE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C51E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6C7A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88CF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762F1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D056D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B8DF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B0C75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9055F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5"/>
  </w:num>
  <w:num w:numId="3">
    <w:abstractNumId w:val="12"/>
  </w:num>
  <w:num w:numId="4">
    <w:abstractNumId w:val="11"/>
  </w:num>
  <w:num w:numId="5">
    <w:abstractNumId w:val="13"/>
  </w:num>
  <w:num w:numId="6">
    <w:abstractNumId w:val="7"/>
  </w:num>
  <w:num w:numId="7">
    <w:abstractNumId w:val="2"/>
  </w:num>
  <w:num w:numId="8">
    <w:abstractNumId w:val="0"/>
  </w:num>
  <w:num w:numId="9">
    <w:abstractNumId w:val="3"/>
  </w:num>
  <w:num w:numId="10">
    <w:abstractNumId w:val="6"/>
  </w:num>
  <w:num w:numId="11">
    <w:abstractNumId w:val="14"/>
  </w:num>
  <w:num w:numId="12">
    <w:abstractNumId w:val="10"/>
  </w:num>
  <w:num w:numId="13">
    <w:abstractNumId w:val="4"/>
  </w:num>
  <w:num w:numId="14">
    <w:abstractNumId w:val="5"/>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E11"/>
    <w:rsid w:val="001B7E11"/>
    <w:rsid w:val="004018E4"/>
    <w:rsid w:val="006B014E"/>
    <w:rsid w:val="007630E9"/>
    <w:rsid w:val="008C7056"/>
    <w:rsid w:val="00915551"/>
    <w:rsid w:val="00967C2A"/>
    <w:rsid w:val="00A21648"/>
    <w:rsid w:val="00AC3C61"/>
    <w:rsid w:val="00DB5650"/>
    <w:rsid w:val="00E03BD5"/>
    <w:rsid w:val="00E54B3A"/>
    <w:rsid w:val="00F13928"/>
    <w:rsid w:val="00F4718A"/>
    <w:rsid w:val="00F63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0804"/>
  <w15:docId w15:val="{554765A3-75DC-455C-AB8C-0A70177EF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 w:line="268" w:lineRule="auto"/>
      <w:ind w:left="599" w:hanging="370"/>
    </w:pPr>
    <w:rPr>
      <w:rFonts w:ascii="Arial" w:eastAsia="Arial" w:hAnsi="Arial" w:cs="Arial"/>
      <w:color w:val="000000"/>
    </w:rPr>
  </w:style>
  <w:style w:type="paragraph" w:styleId="1">
    <w:name w:val="heading 1"/>
    <w:next w:val="a"/>
    <w:link w:val="10"/>
    <w:uiPriority w:val="9"/>
    <w:unhideWhenUsed/>
    <w:qFormat/>
    <w:pPr>
      <w:keepNext/>
      <w:keepLines/>
      <w:numPr>
        <w:numId w:val="11"/>
      </w:numPr>
      <w:spacing w:after="223"/>
      <w:ind w:left="10" w:hanging="10"/>
      <w:outlineLvl w:val="0"/>
    </w:pPr>
    <w:rPr>
      <w:rFonts w:ascii="Arial" w:eastAsia="Arial" w:hAnsi="Arial" w:cs="Arial"/>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Arial" w:hAnsi="Arial" w:cs="Arial"/>
      <w:b/>
      <w:color w:val="000000"/>
      <w:sz w:val="26"/>
    </w:rPr>
  </w:style>
  <w:style w:type="paragraph" w:styleId="a3">
    <w:name w:val="List Paragraph"/>
    <w:basedOn w:val="a"/>
    <w:uiPriority w:val="34"/>
    <w:qFormat/>
    <w:rsid w:val="00915551"/>
    <w:pPr>
      <w:ind w:left="720"/>
      <w:contextualSpacing/>
    </w:pPr>
  </w:style>
  <w:style w:type="character" w:styleId="a4">
    <w:name w:val="Hyperlink"/>
    <w:basedOn w:val="a0"/>
    <w:uiPriority w:val="99"/>
    <w:unhideWhenUsed/>
    <w:rsid w:val="009155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87625">
      <w:bodyDiv w:val="1"/>
      <w:marLeft w:val="0"/>
      <w:marRight w:val="0"/>
      <w:marTop w:val="0"/>
      <w:marBottom w:val="0"/>
      <w:divBdr>
        <w:top w:val="none" w:sz="0" w:space="0" w:color="auto"/>
        <w:left w:val="none" w:sz="0" w:space="0" w:color="auto"/>
        <w:bottom w:val="none" w:sz="0" w:space="0" w:color="auto"/>
        <w:right w:val="none" w:sz="0" w:space="0" w:color="auto"/>
      </w:divBdr>
    </w:div>
    <w:div w:id="1144155019">
      <w:bodyDiv w:val="1"/>
      <w:marLeft w:val="0"/>
      <w:marRight w:val="0"/>
      <w:marTop w:val="0"/>
      <w:marBottom w:val="0"/>
      <w:divBdr>
        <w:top w:val="none" w:sz="0" w:space="0" w:color="auto"/>
        <w:left w:val="none" w:sz="0" w:space="0" w:color="auto"/>
        <w:bottom w:val="none" w:sz="0" w:space="0" w:color="auto"/>
        <w:right w:val="none" w:sz="0" w:space="0" w:color="auto"/>
      </w:divBdr>
      <w:divsChild>
        <w:div w:id="1513493964">
          <w:marLeft w:val="0"/>
          <w:marRight w:val="0"/>
          <w:marTop w:val="0"/>
          <w:marBottom w:val="0"/>
          <w:divBdr>
            <w:top w:val="none" w:sz="0" w:space="0" w:color="auto"/>
            <w:left w:val="none" w:sz="0" w:space="0" w:color="auto"/>
            <w:bottom w:val="none" w:sz="0" w:space="0" w:color="auto"/>
            <w:right w:val="none" w:sz="0" w:space="0" w:color="auto"/>
          </w:divBdr>
        </w:div>
      </w:divsChild>
    </w:div>
    <w:div w:id="1316958105">
      <w:bodyDiv w:val="1"/>
      <w:marLeft w:val="0"/>
      <w:marRight w:val="0"/>
      <w:marTop w:val="0"/>
      <w:marBottom w:val="0"/>
      <w:divBdr>
        <w:top w:val="none" w:sz="0" w:space="0" w:color="auto"/>
        <w:left w:val="none" w:sz="0" w:space="0" w:color="auto"/>
        <w:bottom w:val="none" w:sz="0" w:space="0" w:color="auto"/>
        <w:right w:val="none" w:sz="0" w:space="0" w:color="auto"/>
      </w:divBdr>
    </w:div>
    <w:div w:id="1331837319">
      <w:bodyDiv w:val="1"/>
      <w:marLeft w:val="0"/>
      <w:marRight w:val="0"/>
      <w:marTop w:val="0"/>
      <w:marBottom w:val="0"/>
      <w:divBdr>
        <w:top w:val="none" w:sz="0" w:space="0" w:color="auto"/>
        <w:left w:val="none" w:sz="0" w:space="0" w:color="auto"/>
        <w:bottom w:val="none" w:sz="0" w:space="0" w:color="auto"/>
        <w:right w:val="none" w:sz="0" w:space="0" w:color="auto"/>
      </w:divBdr>
      <w:divsChild>
        <w:div w:id="510031821">
          <w:marLeft w:val="0"/>
          <w:marRight w:val="0"/>
          <w:marTop w:val="0"/>
          <w:marBottom w:val="0"/>
          <w:divBdr>
            <w:top w:val="none" w:sz="0" w:space="0" w:color="auto"/>
            <w:left w:val="none" w:sz="0" w:space="0" w:color="auto"/>
            <w:bottom w:val="none" w:sz="0" w:space="0" w:color="auto"/>
            <w:right w:val="none" w:sz="0" w:space="0" w:color="auto"/>
          </w:divBdr>
        </w:div>
      </w:divsChild>
    </w:div>
    <w:div w:id="1500778041">
      <w:bodyDiv w:val="1"/>
      <w:marLeft w:val="0"/>
      <w:marRight w:val="0"/>
      <w:marTop w:val="0"/>
      <w:marBottom w:val="0"/>
      <w:divBdr>
        <w:top w:val="none" w:sz="0" w:space="0" w:color="auto"/>
        <w:left w:val="none" w:sz="0" w:space="0" w:color="auto"/>
        <w:bottom w:val="none" w:sz="0" w:space="0" w:color="auto"/>
        <w:right w:val="none" w:sz="0" w:space="0" w:color="auto"/>
      </w:divBdr>
      <w:divsChild>
        <w:div w:id="601689377">
          <w:marLeft w:val="0"/>
          <w:marRight w:val="0"/>
          <w:marTop w:val="0"/>
          <w:marBottom w:val="0"/>
          <w:divBdr>
            <w:top w:val="none" w:sz="0" w:space="0" w:color="auto"/>
            <w:left w:val="none" w:sz="0" w:space="0" w:color="auto"/>
            <w:bottom w:val="none" w:sz="0" w:space="0" w:color="auto"/>
            <w:right w:val="none" w:sz="0" w:space="0" w:color="auto"/>
          </w:divBdr>
        </w:div>
        <w:div w:id="1057359229">
          <w:marLeft w:val="0"/>
          <w:marRight w:val="0"/>
          <w:marTop w:val="0"/>
          <w:marBottom w:val="0"/>
          <w:divBdr>
            <w:top w:val="none" w:sz="0" w:space="0" w:color="auto"/>
            <w:left w:val="none" w:sz="0" w:space="0" w:color="auto"/>
            <w:bottom w:val="none" w:sz="0" w:space="0" w:color="auto"/>
            <w:right w:val="none" w:sz="0" w:space="0" w:color="auto"/>
          </w:divBdr>
        </w:div>
      </w:divsChild>
    </w:div>
    <w:div w:id="1841967377">
      <w:bodyDiv w:val="1"/>
      <w:marLeft w:val="0"/>
      <w:marRight w:val="0"/>
      <w:marTop w:val="0"/>
      <w:marBottom w:val="0"/>
      <w:divBdr>
        <w:top w:val="none" w:sz="0" w:space="0" w:color="auto"/>
        <w:left w:val="none" w:sz="0" w:space="0" w:color="auto"/>
        <w:bottom w:val="none" w:sz="0" w:space="0" w:color="auto"/>
        <w:right w:val="none" w:sz="0" w:space="0" w:color="auto"/>
      </w:divBdr>
      <w:divsChild>
        <w:div w:id="1320188396">
          <w:marLeft w:val="0"/>
          <w:marRight w:val="0"/>
          <w:marTop w:val="0"/>
          <w:marBottom w:val="0"/>
          <w:divBdr>
            <w:top w:val="none" w:sz="0" w:space="0" w:color="auto"/>
            <w:left w:val="none" w:sz="0" w:space="0" w:color="auto"/>
            <w:bottom w:val="none" w:sz="0" w:space="0" w:color="auto"/>
            <w:right w:val="none" w:sz="0" w:space="0" w:color="auto"/>
          </w:divBdr>
        </w:div>
      </w:divsChild>
    </w:div>
    <w:div w:id="1913923606">
      <w:bodyDiv w:val="1"/>
      <w:marLeft w:val="0"/>
      <w:marRight w:val="0"/>
      <w:marTop w:val="0"/>
      <w:marBottom w:val="0"/>
      <w:divBdr>
        <w:top w:val="none" w:sz="0" w:space="0" w:color="auto"/>
        <w:left w:val="none" w:sz="0" w:space="0" w:color="auto"/>
        <w:bottom w:val="none" w:sz="0" w:space="0" w:color="auto"/>
        <w:right w:val="none" w:sz="0" w:space="0" w:color="auto"/>
      </w:divBdr>
      <w:divsChild>
        <w:div w:id="1894388579">
          <w:marLeft w:val="0"/>
          <w:marRight w:val="0"/>
          <w:marTop w:val="0"/>
          <w:marBottom w:val="0"/>
          <w:divBdr>
            <w:top w:val="none" w:sz="0" w:space="0" w:color="auto"/>
            <w:left w:val="none" w:sz="0" w:space="0" w:color="auto"/>
            <w:bottom w:val="none" w:sz="0" w:space="0" w:color="auto"/>
            <w:right w:val="none" w:sz="0" w:space="0" w:color="auto"/>
          </w:divBdr>
        </w:div>
      </w:divsChild>
    </w:div>
    <w:div w:id="1986397443">
      <w:bodyDiv w:val="1"/>
      <w:marLeft w:val="0"/>
      <w:marRight w:val="0"/>
      <w:marTop w:val="0"/>
      <w:marBottom w:val="0"/>
      <w:divBdr>
        <w:top w:val="none" w:sz="0" w:space="0" w:color="auto"/>
        <w:left w:val="none" w:sz="0" w:space="0" w:color="auto"/>
        <w:bottom w:val="none" w:sz="0" w:space="0" w:color="auto"/>
        <w:right w:val="none" w:sz="0" w:space="0" w:color="auto"/>
      </w:divBdr>
      <w:divsChild>
        <w:div w:id="5851191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dnodes.net/" TargetMode="External"/><Relationship Id="rId3" Type="http://schemas.openxmlformats.org/officeDocument/2006/relationships/styles" Target="styles.xml"/><Relationship Id="rId7" Type="http://schemas.openxmlformats.org/officeDocument/2006/relationships/hyperlink" Target="https://lendnodes.ne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ndnodes.clou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m.lendnodes.cloud" TargetMode="External"/><Relationship Id="rId4" Type="http://schemas.openxmlformats.org/officeDocument/2006/relationships/settings" Target="settings.xml"/><Relationship Id="rId9" Type="http://schemas.openxmlformats.org/officeDocument/2006/relationships/hyperlink" Target="https://lendnodes.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594CF-F4AD-4A16-8288-A9386647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4768</Words>
  <Characters>2718</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LENDNODES</vt:lpstr>
      <vt:lpstr>Определения </vt:lpstr>
      <vt:lpstr>Описание Услуг </vt:lpstr>
      <vt:lpstr>SLA (Соглашение об уровне обслуживания) </vt:lpstr>
      <vt:lpstr>Техническая поддержка </vt:lpstr>
      <vt:lpstr>Права и обязанности сторон </vt:lpstr>
      <vt:lpstr>Ответственность сторон </vt:lpstr>
      <vt:lpstr>Расторжение договора </vt:lpstr>
      <vt:lpstr>Политика возврата </vt:lpstr>
      <vt:lpstr>Прочие условия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LENDNODES</dc:title>
  <dc:subject/>
  <dc:creator>Admin</dc:creator>
  <cp:keywords/>
  <cp:lastModifiedBy>Admin</cp:lastModifiedBy>
  <cp:revision>2</cp:revision>
  <dcterms:created xsi:type="dcterms:W3CDTF">2026-02-08T11:45:00Z</dcterms:created>
  <dcterms:modified xsi:type="dcterms:W3CDTF">2026-02-08T11:45:00Z</dcterms:modified>
</cp:coreProperties>
</file>